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/>
        <w:rPr>
          <w:rFonts w:hint="eastAsia"/>
        </w:rPr>
      </w:pPr>
      <w:bookmarkStart w:id="0" w:name="_GoBack"/>
      <w:r>
        <w:rPr>
          <w:rFonts w:hint="eastAsia"/>
          <w:b/>
          <w:szCs w:val="28"/>
        </w:rPr>
        <w:t xml:space="preserve">附件二、  </w:t>
      </w:r>
    </w:p>
    <w:p>
      <w:pPr>
        <w:pStyle w:val="4"/>
        <w:ind w:left="0" w:leftChars="0"/>
        <w:jc w:val="center"/>
        <w:rPr>
          <w:rFonts w:cs="宋体"/>
          <w:b/>
          <w:bCs/>
          <w:kern w:val="0"/>
          <w:sz w:val="32"/>
          <w:szCs w:val="32"/>
          <w:lang w:bidi="ar"/>
        </w:rPr>
      </w:pPr>
      <w:r>
        <w:rPr>
          <w:rFonts w:hint="eastAsia" w:cs="宋体"/>
          <w:b/>
          <w:bCs/>
          <w:kern w:val="0"/>
          <w:sz w:val="32"/>
          <w:szCs w:val="32"/>
          <w:lang w:bidi="ar"/>
        </w:rPr>
        <w:t>项目清单报价表</w:t>
      </w:r>
    </w:p>
    <w:bookmarkEnd w:id="0"/>
    <w:tbl>
      <w:tblPr>
        <w:tblStyle w:val="7"/>
        <w:tblW w:w="142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12"/>
        <w:gridCol w:w="4511"/>
        <w:gridCol w:w="794"/>
        <w:gridCol w:w="823"/>
        <w:gridCol w:w="1185"/>
        <w:gridCol w:w="1185"/>
        <w:gridCol w:w="910"/>
        <w:gridCol w:w="1098"/>
        <w:gridCol w:w="803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技术要求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周期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票种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税率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□含税      □不含税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□含税      □不含税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天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</w:trPr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礼泉海螺无人运输系统网络建设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1.端到端时延：矿车所有运行区域内，车载终端与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UPF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（核心网用户面网元）之间的端到端RTD平均时延≤100ms，最大时延不高于500ms；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2.网络丢包：矿车所有运行区域内，在timeout设置为2s情况下，车载终端与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UPF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之间的端到端网络丢包率低于0.05%，不出现连续3个及以上的丢包；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3.上行速率：矿车运行区域内，车载终端网络平均上行速率不低15Mbps，最低速率不低于5Mbps；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4.下行速率：矿车运行区域内，车载终端网络平均下行速率不低10Mbps，最低速率不低于 5Mbps。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sim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卡固定i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地址需求：车载终端的每张sim卡可分配指定网段的固定IP地址，可与企业内网互通。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互联网需求：云控服务器所在机房开通不低于200M互联网专线，分配至少一个公网固定IP 地址。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□增值税专用发票   □增值税普通发票    □其他</w:t>
            </w: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□13%    □9%   □6%   □3%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具体技术要求按照附件：礼泉海螺无人运输系统建设方案为准。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    计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</w:tr>
    </w:tbl>
    <w:p>
      <w:pPr>
        <w:pStyle w:val="4"/>
        <w:ind w:left="0" w:leftChars="0"/>
        <w:rPr>
          <w:rFonts w:hint="eastAsia"/>
          <w:b/>
        </w:rPr>
        <w:sectPr>
          <w:pgSz w:w="16838" w:h="11906" w:orient="landscape"/>
          <w:pgMar w:top="850" w:right="1361" w:bottom="1361" w:left="1361" w:header="720" w:footer="720" w:gutter="0"/>
          <w:cols w:space="720" w:num="1"/>
          <w:titlePg/>
          <w:docGrid w:type="lines" w:linePitch="312" w:charSpace="0"/>
        </w:sectPr>
      </w:pPr>
    </w:p>
    <w:tbl>
      <w:tblPr>
        <w:tblStyle w:val="7"/>
        <w:tblW w:w="614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1"/>
        <w:gridCol w:w="1289"/>
        <w:gridCol w:w="1003"/>
        <w:gridCol w:w="1003"/>
        <w:gridCol w:w="1688"/>
        <w:gridCol w:w="1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7" w:type="pct"/>
          <w:trHeight w:val="454" w:hRule="atLeast"/>
        </w:trPr>
        <w:tc>
          <w:tcPr>
            <w:tcW w:w="3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Cs w:val="24"/>
              </w:rPr>
              <w:t>1.</w:t>
            </w:r>
            <w:r>
              <w:rPr>
                <w:rFonts w:hint="eastAsia"/>
                <w:b/>
                <w:bCs/>
              </w:rPr>
              <w:t>项目报价：按照5年合同周期，以年度</w:t>
            </w:r>
            <w:r>
              <w:rPr>
                <w:rFonts w:hint="eastAsia"/>
                <w:b/>
                <w:bCs/>
                <w:lang w:val="en-US" w:eastAsia="zh-CN"/>
              </w:rPr>
              <w:t>总费用</w:t>
            </w:r>
            <w:r>
              <w:rPr>
                <w:rFonts w:hint="eastAsia"/>
                <w:b/>
                <w:bCs/>
              </w:rPr>
              <w:t>进行报价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此报价含网络设施使用、管理、维护或其它与之相关所有费用，包含但不限于政府电信或网络管理部门收取的一切相关费用</w:t>
            </w:r>
            <w:r>
              <w:rPr>
                <w:rFonts w:hint="eastAsia"/>
                <w:b/>
                <w:bCs/>
              </w:rPr>
              <w:t>；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7" w:type="pct"/>
          <w:trHeight w:val="454" w:hRule="atLeast"/>
        </w:trPr>
        <w:tc>
          <w:tcPr>
            <w:tcW w:w="3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Cs w:val="24"/>
              </w:rPr>
              <w:t>2.所有报价必须注明价格是否含税，及提供发票种类，含税价须注明税率；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7" w:type="pct"/>
          <w:trHeight w:val="454" w:hRule="atLeast"/>
        </w:trPr>
        <w:tc>
          <w:tcPr>
            <w:tcW w:w="3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Cs w:val="24"/>
              </w:rPr>
              <w:t>3.网络覆盖地点：礼泉海螺水泥有限公司矿山分厂内：矿山开采区、运输道路、破碎平台、办公楼等所有使用现场；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cs="宋体"/>
                <w:b/>
                <w:bCs/>
                <w:kern w:val="0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Cs w:val="24"/>
              </w:rPr>
              <w:t>4.建设要求需满足《礼泉海螺无人运输系统建设方案》规定，技术参数不得低于文件要求；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cs="宋体"/>
                <w:b/>
                <w:bCs/>
                <w:kern w:val="0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cs="宋体"/>
                <w:b/>
                <w:bCs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7" w:type="pct"/>
          <w:trHeight w:val="454" w:hRule="atLeast"/>
        </w:trPr>
        <w:tc>
          <w:tcPr>
            <w:tcW w:w="4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cs="宋体"/>
                <w:b/>
                <w:bCs/>
                <w:kern w:val="0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Cs w:val="24"/>
              </w:rPr>
              <w:t>5.合同约定期限内网络技术要求必须满足上述方案要求，报价方承担满足上述网络使用要求的相关设计、设备采购、工程建设、调试、政府或电信部门审批、备案等全部费用；由于开采面发生变化造成的网络基站位置迁改、设备升级、工程建设等费用由报价方承担。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ind w:left="0" w:leftChars="0"/>
              <w:jc w:val="left"/>
              <w:rPr>
                <w:rFonts w:hint="eastAsia" w:cs="宋体"/>
                <w:b/>
                <w:bCs/>
                <w:kern w:val="0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YzVhMDI0MWQ1NjU3YTczMzM0ZmIyN2YyOGQ3NjYifQ=="/>
  </w:docVars>
  <w:rsids>
    <w:rsidRoot w:val="055F3ADD"/>
    <w:rsid w:val="055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line="480" w:lineRule="exact"/>
      <w:ind w:firstLine="471" w:firstLineChars="200"/>
    </w:pPr>
    <w:rPr>
      <w:rFonts w:ascii="宋体" w:hAnsi="宋体" w:eastAsia="宋体" w:cs="Times New Roman"/>
      <w:kern w:val="2"/>
      <w:sz w:val="24"/>
    </w:rPr>
  </w:style>
  <w:style w:type="paragraph" w:styleId="4">
    <w:name w:val="Date"/>
    <w:basedOn w:val="1"/>
    <w:next w:val="1"/>
    <w:uiPriority w:val="0"/>
    <w:pPr>
      <w:ind w:left="100" w:leftChars="2500"/>
    </w:pPr>
    <w:rPr>
      <w:rFonts w:ascii="宋体" w:hAnsi="宋体" w:eastAsia="宋体" w:cs="Times New Roman"/>
      <w:kern w:val="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</w:rPr>
  </w:style>
  <w:style w:type="character" w:styleId="9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2023-10-16T06:15:00Z</dcterms:created>
  <dc:creator>钥匙</dc:creator>
  <cp:lastModifiedBy>钥匙</cp:lastModifiedBy>
  <dcterms:modified xsi:type="dcterms:W3CDTF">2023-10-16T06:18:08Z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6AAEA3C3061643A48D421FDEA7864287_11</vt:lpwstr>
  </property>
</Properties>
</file>