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72"/>
          <w:szCs w:val="144"/>
        </w:rPr>
      </w:pPr>
    </w:p>
    <w:p>
      <w:pPr>
        <w:jc w:val="center"/>
        <w:rPr>
          <w:rFonts w:hint="eastAsia" w:ascii="宋体" w:hAnsi="宋体" w:eastAsia="宋体" w:cs="宋体"/>
          <w:b/>
          <w:bCs/>
          <w:sz w:val="72"/>
          <w:szCs w:val="144"/>
        </w:rPr>
      </w:pPr>
    </w:p>
    <w:p>
      <w:pPr>
        <w:jc w:val="center"/>
        <w:rPr>
          <w:rFonts w:hint="eastAsia" w:ascii="宋体" w:hAnsi="宋体" w:eastAsia="宋体" w:cs="宋体"/>
          <w:b/>
          <w:bCs/>
          <w:sz w:val="72"/>
          <w:szCs w:val="144"/>
        </w:rPr>
      </w:pPr>
      <w:r>
        <w:rPr>
          <w:rFonts w:hint="eastAsia" w:ascii="宋体" w:hAnsi="宋体" w:eastAsia="宋体" w:cs="宋体"/>
          <w:b/>
          <w:bCs/>
          <w:sz w:val="72"/>
          <w:szCs w:val="144"/>
        </w:rPr>
        <w:t>安全资质综合能力评估</w:t>
      </w:r>
    </w:p>
    <w:p>
      <w:pPr>
        <w:jc w:val="center"/>
        <w:rPr>
          <w:rFonts w:hint="eastAsia" w:ascii="宋体" w:hAnsi="宋体" w:eastAsia="宋体" w:cs="宋体"/>
          <w:b/>
          <w:bCs/>
          <w:sz w:val="72"/>
          <w:szCs w:val="144"/>
        </w:rPr>
      </w:pPr>
      <w:r>
        <w:rPr>
          <w:rFonts w:hint="eastAsia" w:ascii="宋体" w:hAnsi="宋体" w:eastAsia="宋体" w:cs="宋体"/>
          <w:b/>
          <w:bCs/>
          <w:sz w:val="72"/>
          <w:szCs w:val="144"/>
        </w:rPr>
        <w:t>响应文件</w:t>
      </w:r>
    </w:p>
    <w:p>
      <w:pPr>
        <w:pStyle w:val="2"/>
        <w:rPr>
          <w:rFonts w:hint="eastAsia" w:ascii="宋体" w:hAnsi="宋体" w:eastAsia="宋体" w:cs="宋体"/>
          <w:sz w:val="52"/>
          <w:szCs w:val="72"/>
        </w:rPr>
      </w:pPr>
    </w:p>
    <w:p>
      <w:pPr>
        <w:pStyle w:val="3"/>
        <w:rPr>
          <w:rFonts w:hint="eastAsia" w:ascii="宋体" w:hAnsi="宋体" w:eastAsia="宋体" w:cs="宋体"/>
          <w:sz w:val="52"/>
          <w:szCs w:val="72"/>
        </w:rPr>
      </w:pPr>
    </w:p>
    <w:p>
      <w:pPr>
        <w:rPr>
          <w:rFonts w:hint="eastAsia" w:ascii="宋体" w:hAnsi="宋体" w:eastAsia="宋体" w:cs="宋体"/>
          <w:sz w:val="52"/>
          <w:szCs w:val="72"/>
        </w:rPr>
      </w:pPr>
    </w:p>
    <w:p>
      <w:pPr>
        <w:pStyle w:val="2"/>
        <w:rPr>
          <w:rFonts w:hint="eastAsia" w:ascii="宋体" w:hAnsi="宋体" w:eastAsia="宋体" w:cs="宋体"/>
        </w:rPr>
      </w:pPr>
    </w:p>
    <w:p>
      <w:pPr>
        <w:pStyle w:val="3"/>
        <w:rPr>
          <w:rFonts w:hint="eastAsia" w:ascii="宋体" w:hAnsi="宋体" w:eastAsia="宋体" w:cs="宋体"/>
        </w:rPr>
      </w:pPr>
    </w:p>
    <w:p>
      <w:pPr>
        <w:jc w:val="both"/>
        <w:rPr>
          <w:rFonts w:hint="eastAsia" w:ascii="宋体" w:hAnsi="宋体" w:eastAsia="宋体" w:cs="宋体"/>
          <w:sz w:val="52"/>
          <w:szCs w:val="72"/>
        </w:rPr>
      </w:pPr>
      <w:r>
        <w:rPr>
          <w:rFonts w:hint="eastAsia" w:ascii="宋体" w:hAnsi="宋体" w:eastAsia="宋体" w:cs="宋体"/>
          <w:sz w:val="52"/>
          <w:szCs w:val="72"/>
        </w:rPr>
        <w:t xml:space="preserve">            </w:t>
      </w:r>
    </w:p>
    <w:p>
      <w:pPr>
        <w:pStyle w:val="4"/>
        <w:adjustRightInd w:val="0"/>
        <w:snapToGrid w:val="0"/>
        <w:spacing w:before="62" w:beforeLines="20" w:after="62" w:afterLines="20" w:line="360" w:lineRule="auto"/>
        <w:ind w:left="0" w:leftChars="0" w:firstLine="0" w:firstLineChars="0"/>
        <w:rPr>
          <w:rFonts w:hint="eastAsia" w:ascii="宋体" w:hAnsi="宋体" w:eastAsia="宋体" w:cs="宋体"/>
          <w:b/>
          <w:bCs/>
          <w:color w:val="auto"/>
          <w:highlight w:val="none"/>
        </w:rPr>
      </w:pPr>
    </w:p>
    <w:p>
      <w:pPr>
        <w:pStyle w:val="4"/>
        <w:adjustRightInd w:val="0"/>
        <w:snapToGrid w:val="0"/>
        <w:spacing w:before="62" w:beforeLines="20" w:after="62" w:afterLines="20" w:line="360" w:lineRule="auto"/>
        <w:ind w:left="145" w:leftChars="69" w:firstLine="1054" w:firstLineChars="500"/>
        <w:rPr>
          <w:rFonts w:hint="eastAsia" w:ascii="宋体" w:hAnsi="宋体" w:eastAsia="宋体" w:cs="宋体"/>
          <w:b/>
          <w:bCs/>
          <w:color w:val="auto"/>
          <w:highlight w:val="none"/>
        </w:rPr>
      </w:pPr>
    </w:p>
    <w:p>
      <w:pPr>
        <w:pStyle w:val="4"/>
        <w:adjustRightInd w:val="0"/>
        <w:snapToGrid w:val="0"/>
        <w:spacing w:before="62" w:beforeLines="20" w:after="62" w:afterLines="20" w:line="360" w:lineRule="auto"/>
        <w:ind w:left="145" w:leftChars="69" w:firstLine="1807" w:firstLineChars="500"/>
        <w:jc w:val="center"/>
        <w:rPr>
          <w:rFonts w:hint="eastAsia" w:ascii="宋体" w:hAnsi="宋体" w:eastAsia="宋体" w:cs="宋体"/>
          <w:b/>
          <w:bCs/>
          <w:color w:val="auto"/>
          <w:sz w:val="36"/>
          <w:szCs w:val="44"/>
          <w:highlight w:val="none"/>
        </w:rPr>
      </w:pPr>
    </w:p>
    <w:p>
      <w:pPr>
        <w:pStyle w:val="4"/>
        <w:adjustRightInd w:val="0"/>
        <w:snapToGrid w:val="0"/>
        <w:spacing w:before="62" w:beforeLines="20" w:after="62" w:afterLines="20" w:line="360" w:lineRule="auto"/>
        <w:ind w:left="0" w:leftChars="0" w:firstLine="0" w:firstLineChars="0"/>
        <w:jc w:val="both"/>
        <w:rPr>
          <w:rFonts w:hint="eastAsia" w:ascii="宋体" w:hAnsi="宋体" w:eastAsia="宋体" w:cs="宋体"/>
          <w:b/>
          <w:bCs/>
          <w:color w:val="auto"/>
          <w:sz w:val="36"/>
          <w:szCs w:val="44"/>
          <w:highlight w:val="none"/>
        </w:rPr>
      </w:pPr>
    </w:p>
    <w:p>
      <w:pPr>
        <w:pStyle w:val="4"/>
        <w:adjustRightInd w:val="0"/>
        <w:snapToGrid w:val="0"/>
        <w:spacing w:before="62" w:beforeLines="20" w:after="62" w:afterLines="20" w:line="360" w:lineRule="auto"/>
        <w:jc w:val="both"/>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 xml:space="preserve">投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标 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（盖公章）</w:t>
      </w:r>
    </w:p>
    <w:p>
      <w:pPr>
        <w:pStyle w:val="2"/>
        <w:ind w:firstLine="321" w:firstLineChars="100"/>
        <w:jc w:val="both"/>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（签字或盖章）</w:t>
      </w:r>
    </w:p>
    <w:p>
      <w:pPr>
        <w:adjustRightInd w:val="0"/>
        <w:snapToGrid w:val="0"/>
        <w:spacing w:before="62" w:beforeLines="20" w:after="62" w:afterLines="20" w:line="360" w:lineRule="auto"/>
        <w:ind w:firstLine="321" w:firstLineChars="100"/>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 xml:space="preserve">日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期：</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p>
    <w:p>
      <w:pPr>
        <w:pStyle w:val="3"/>
        <w:ind w:left="0" w:leftChars="0" w:firstLine="0"/>
        <w:jc w:val="center"/>
        <w:rPr>
          <w:rFonts w:hint="eastAsia" w:ascii="宋体" w:hAnsi="宋体" w:eastAsia="宋体" w:cs="宋体"/>
          <w:b/>
          <w:color w:val="auto"/>
          <w:sz w:val="52"/>
          <w:szCs w:val="72"/>
          <w:highlight w:val="none"/>
          <w:lang w:val="en-US" w:eastAsia="zh-CN"/>
        </w:rPr>
      </w:pPr>
    </w:p>
    <w:p>
      <w:pPr>
        <w:pStyle w:val="3"/>
        <w:ind w:left="0" w:leftChars="0" w:firstLine="0"/>
        <w:jc w:val="center"/>
        <w:rPr>
          <w:rFonts w:hint="eastAsia" w:ascii="宋体" w:hAnsi="宋体" w:eastAsia="宋体" w:cs="宋体"/>
          <w:b/>
          <w:color w:val="auto"/>
          <w:sz w:val="52"/>
          <w:szCs w:val="72"/>
          <w:highlight w:val="none"/>
          <w:lang w:val="en-US" w:eastAsia="zh-CN"/>
        </w:rPr>
      </w:pPr>
      <w:r>
        <w:rPr>
          <w:rFonts w:hint="eastAsia" w:ascii="宋体" w:hAnsi="宋体" w:eastAsia="宋体" w:cs="宋体"/>
          <w:b/>
          <w:color w:val="auto"/>
          <w:sz w:val="52"/>
          <w:szCs w:val="72"/>
          <w:highlight w:val="none"/>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（一）相关方业务资质/等级。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（二）安全管理组织机构设置和专（兼）职安全管理人员的设立。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（三）建立有效的安全激励约束机制。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（四）健全、完善的全员安全生产责任制、安全管理制度和岗位操作规程。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（五）作业人员配备符合国家或行业标准的个人劳动防护用品。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（六）基于拟承担业务的安全风险做出合理的费用概算。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（七）建立应急救援组织机构、应急救援预案，按照标准配备应急救援器材和设备。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（八）特种作业人员和特种设备作业人员持证情况。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（九）为作业人员依法缴纳各类保险。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（十）作业人员具有类似业务的工作经历。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（十一）作业人员经过内部的培训考核和能力评估。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（十二）作业人员有效的体检证明。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（十三）作业装备、工器具的性能状况。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（十四）近三年同行业安全作业业绩。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（十五）承担相关业务的实力（技术、资金、设备、人员）。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（十六）其他有关内容。</w:t>
      </w: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rPr>
          <w:rFonts w:hint="eastAsia"/>
        </w:rPr>
      </w:pPr>
    </w:p>
    <w:p>
      <w:pPr>
        <w:pStyle w:val="2"/>
        <w:rPr>
          <w:rFonts w:hint="eastAsia" w:ascii="宋体" w:hAnsi="宋体" w:eastAsia="宋体" w:cs="宋体"/>
          <w:sz w:val="28"/>
          <w:szCs w:val="28"/>
        </w:rPr>
      </w:pPr>
    </w:p>
    <w:p>
      <w:pPr>
        <w:pStyle w:val="3"/>
        <w:rPr>
          <w:rFonts w:hint="eastAsia" w:ascii="宋体" w:hAnsi="宋体" w:eastAsia="宋体" w:cs="宋体"/>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（一）相关方业务资质/等级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2.行业资质证书；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3.设计资质证书（如含设计的）；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4.安全生产许可证（</w:t>
      </w:r>
      <w:r>
        <w:rPr>
          <w:rFonts w:hint="eastAsia" w:ascii="宋体" w:hAnsi="宋体" w:eastAsia="宋体" w:cs="宋体"/>
          <w:b w:val="0"/>
          <w:bCs/>
          <w:i w:val="0"/>
          <w:iCs w:val="0"/>
          <w:caps w:val="0"/>
          <w:color w:val="333333"/>
          <w:spacing w:val="0"/>
          <w:sz w:val="24"/>
          <w:szCs w:val="24"/>
          <w:shd w:val="clear" w:fill="FFFFFF"/>
        </w:rPr>
        <w:t>煤矿、非煤矿山、危险化学品、烟花爆竹、交通运输、建筑施工、民用爆炸物品、金属冶炼等属于国家规定的高危行业、领域的生产经营单位</w:t>
      </w:r>
      <w:r>
        <w:rPr>
          <w:rFonts w:hint="eastAsia" w:ascii="宋体" w:hAnsi="宋体" w:eastAsia="宋体" w:cs="宋体"/>
          <w:b w:val="0"/>
          <w:bCs/>
          <w:color w:val="auto"/>
          <w:kern w:val="2"/>
          <w:sz w:val="24"/>
          <w:szCs w:val="24"/>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5.特种设备生产许可证（从事特种设备安装、维修等企业）</w:t>
      </w:r>
      <w:r>
        <w:rPr>
          <w:rFonts w:hint="eastAsia" w:ascii="宋体" w:hAnsi="宋体" w:eastAsia="宋体" w:cs="宋体"/>
          <w:b/>
          <w:bCs w:val="0"/>
          <w:color w:val="auto"/>
          <w:kern w:val="2"/>
          <w:sz w:val="24"/>
          <w:szCs w:val="24"/>
          <w:highlight w:val="none"/>
          <w:lang w:val="en-US" w:eastAsia="zh-CN" w:bidi="ar-SA"/>
        </w:rPr>
        <w:t>（如有）</w:t>
      </w: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6.消防设计及施工资质（从事消防设备设施设计、安装企业）</w:t>
      </w:r>
      <w:r>
        <w:rPr>
          <w:rFonts w:hint="eastAsia" w:ascii="宋体" w:hAnsi="宋体" w:eastAsia="宋体" w:cs="宋体"/>
          <w:b/>
          <w:bCs w:val="0"/>
          <w:color w:val="auto"/>
          <w:kern w:val="2"/>
          <w:sz w:val="24"/>
          <w:szCs w:val="24"/>
          <w:highlight w:val="none"/>
          <w:lang w:val="en-US" w:eastAsia="zh-CN" w:bidi="ar-SA"/>
        </w:rPr>
        <w:t>（如有）</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color w:val="auto"/>
          <w:kern w:val="2"/>
          <w:sz w:val="24"/>
          <w:szCs w:val="24"/>
          <w:highlight w:val="none"/>
          <w:lang w:val="en-US" w:eastAsia="zh-CN" w:bidi="ar-SA"/>
        </w:rPr>
        <w:t>7.安全生产标准化证书及安全文化示范企业证明（非必要条件）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注：以上文件PDF扫描件，并用印，存在证件过期的，应附有属地管理部门许可延期复审的证明。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（二）安全管理组织机构设置和专（兼）职安全管理人员的设立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1.公司安全管理机构设立的文件；</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2.公司安全管理人员聘用的文件；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3.公司安全管理组织架构图；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4.主要负责人安全生产资格证；</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5.所有项目经理安全生产资格证及其职称证书；</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6.所有安全管理人员安全生产资格证及其职称证书；（职称证书非必要条件）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注：专职安全员配置标准（参考）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总承包单位配备项目专职安全生产管理人员应当满足下列要求：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（一）建筑工程、装修工程按照建筑面积配备：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5000</w:t>
      </w:r>
      <w:r>
        <w:rPr>
          <w:rFonts w:hint="eastAsia" w:ascii="宋体" w:hAnsi="宋体" w:eastAsia="宋体" w:cs="宋体"/>
          <w:i w:val="0"/>
          <w:iCs w:val="0"/>
          <w:caps w:val="0"/>
          <w:color w:val="auto"/>
          <w:spacing w:val="0"/>
          <w:sz w:val="24"/>
          <w:szCs w:val="24"/>
          <w:u w:val="none"/>
          <w:shd w:val="clear" w:fill="FFFFFF"/>
          <w:lang w:val="en-US" w:eastAsia="zh-CN"/>
        </w:rPr>
        <w:t>平方</w:t>
      </w:r>
      <w:r>
        <w:rPr>
          <w:rFonts w:hint="eastAsia" w:ascii="宋体" w:hAnsi="宋体" w:eastAsia="宋体" w:cs="宋体"/>
          <w:i w:val="0"/>
          <w:iCs w:val="0"/>
          <w:caps w:val="0"/>
          <w:color w:val="auto"/>
          <w:spacing w:val="0"/>
          <w:sz w:val="24"/>
          <w:szCs w:val="24"/>
          <w:u w:val="none"/>
          <w:shd w:val="clear" w:fill="FFFFFF"/>
        </w:rPr>
        <w:t>以下的工程不少于1人；5000～1</w:t>
      </w:r>
      <w:r>
        <w:rPr>
          <w:rFonts w:hint="eastAsia" w:ascii="宋体" w:hAnsi="宋体" w:eastAsia="宋体" w:cs="宋体"/>
          <w:i w:val="0"/>
          <w:iCs w:val="0"/>
          <w:caps w:val="0"/>
          <w:color w:val="auto"/>
          <w:spacing w:val="0"/>
          <w:sz w:val="24"/>
          <w:szCs w:val="24"/>
          <w:u w:val="none"/>
          <w:shd w:val="clear" w:fill="FFFFFF"/>
          <w:lang w:val="en-US" w:eastAsia="zh-CN"/>
        </w:rPr>
        <w:t>万平方</w:t>
      </w:r>
      <w:r>
        <w:rPr>
          <w:rFonts w:hint="eastAsia" w:ascii="宋体" w:hAnsi="宋体" w:eastAsia="宋体" w:cs="宋体"/>
          <w:i w:val="0"/>
          <w:iCs w:val="0"/>
          <w:caps w:val="0"/>
          <w:color w:val="auto"/>
          <w:spacing w:val="0"/>
          <w:sz w:val="24"/>
          <w:szCs w:val="24"/>
          <w:u w:val="none"/>
          <w:shd w:val="clear" w:fill="FFFFFF"/>
        </w:rPr>
        <w:t>的工程不少于2人；1</w:t>
      </w:r>
      <w:r>
        <w:rPr>
          <w:rFonts w:hint="eastAsia" w:ascii="宋体" w:hAnsi="宋体" w:eastAsia="宋体" w:cs="宋体"/>
          <w:i w:val="0"/>
          <w:iCs w:val="0"/>
          <w:caps w:val="0"/>
          <w:color w:val="auto"/>
          <w:spacing w:val="0"/>
          <w:sz w:val="24"/>
          <w:szCs w:val="24"/>
          <w:u w:val="none"/>
          <w:shd w:val="clear" w:fill="FFFFFF"/>
          <w:lang w:val="en-US" w:eastAsia="zh-CN"/>
        </w:rPr>
        <w:t>万平方</w:t>
      </w:r>
      <w:r>
        <w:rPr>
          <w:rFonts w:hint="eastAsia" w:ascii="宋体" w:hAnsi="宋体" w:eastAsia="宋体" w:cs="宋体"/>
          <w:i w:val="0"/>
          <w:iCs w:val="0"/>
          <w:caps w:val="0"/>
          <w:color w:val="auto"/>
          <w:spacing w:val="0"/>
          <w:sz w:val="24"/>
          <w:szCs w:val="24"/>
          <w:u w:val="none"/>
          <w:shd w:val="clear" w:fill="FFFFFF"/>
        </w:rPr>
        <w:t>及以上的工程不少于3人，且按专业配备专职安全生产管理人员。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（二）土木工程、线路管道、设备安装工程按照工程合同价配备：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5000万元以下的工程不少于1人；5000万～1亿元的工程不少于2人；1亿元及以上的工程不少于3人，且按专业配备专职安全生产管理人员。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分包单位配备项目专职安全生产管理人员应当满足下列要求：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（一）专业承包单位应当配置至少1人，并根据所承担的分部分项工程的工程量和施工危险程度增加。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rPr>
        <w:t>　　（二）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shd w:val="clear" w:fill="FFFFFF"/>
        </w:rPr>
        <w:t>采用新技术、新工艺、新材料或致害因素多、施工作业难度大的工程项目，项目专职安全生产管理人员的数量应当根据施工实际情况，在第十三条、第十四条规定的配备标准上增加。</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（三）建立有效的安全激励约束机制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（格式自拟）</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健全、完善的全员安全生产责任制、安全管理制度和</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岗位操作规程</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1.公司安全生产规章制度</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2.公司各岗位安全生产责任制（主要负责人、公司各部门岗位、项目经理、安全管理人员及各施工岗位安全生产责任制）</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3.岗位安全操作规程（公司各级人员岗位安全操作规程）</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b/>
          <w:color w:val="auto"/>
          <w:kern w:val="2"/>
          <w:sz w:val="24"/>
          <w:szCs w:val="24"/>
          <w:highlight w:val="none"/>
          <w:lang w:val="en-US" w:eastAsia="zh-CN" w:bidi="ar-SA"/>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b/>
          <w:color w:val="auto"/>
          <w:kern w:val="2"/>
          <w:sz w:val="24"/>
          <w:szCs w:val="24"/>
          <w:highlight w:val="none"/>
          <w:lang w:val="en-US" w:eastAsia="zh-CN" w:bidi="ar-SA"/>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3"/>
        <w:rPr>
          <w:rFonts w:hint="eastAsia" w:ascii="宋体" w:hAnsi="宋体" w:eastAsia="宋体" w:cs="宋体"/>
          <w:b/>
          <w:color w:val="auto"/>
          <w:kern w:val="2"/>
          <w:sz w:val="24"/>
          <w:szCs w:val="24"/>
          <w:highlight w:val="none"/>
          <w:lang w:val="en-US" w:eastAsia="zh-CN" w:bidi="ar-SA"/>
        </w:rPr>
      </w:pPr>
    </w:p>
    <w:p>
      <w:pPr>
        <w:rPr>
          <w:rFonts w:hint="eastAsia" w:ascii="宋体" w:hAnsi="宋体" w:eastAsia="宋体" w:cs="宋体"/>
          <w:b/>
          <w:color w:val="auto"/>
          <w:kern w:val="2"/>
          <w:sz w:val="24"/>
          <w:szCs w:val="24"/>
          <w:highlight w:val="none"/>
          <w:lang w:val="en-US" w:eastAsia="zh-CN" w:bidi="ar-SA"/>
        </w:rPr>
      </w:pPr>
    </w:p>
    <w:p>
      <w:pPr>
        <w:pStyle w:val="2"/>
        <w:rPr>
          <w:rFonts w:hint="eastAsia"/>
          <w:lang w:val="en-US" w:eastAsia="zh-CN"/>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（五）作业人员配备符合国家或行业标准的个人劳动防护用品</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1.公司劳动防护用品发放及配备管理办法。</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2.为从事该项目作业人员提供符合国家或行业标准的劳动保护用品的承诺书，承诺书应包含但不限于以下要求：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关于为从业人员配置劳动防护用品的承诺书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如我公司参与投标项目中标，我公司承诺为参与该工程员工配备符合国家或行业标准的劳动防护用品。</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widowControl w:val="0"/>
        <w:kinsoku/>
        <w:wordWrap/>
        <w:overflowPunct/>
        <w:topLinePunct w:val="0"/>
        <w:autoSpaceDE/>
        <w:autoSpaceDN/>
        <w:bidi w:val="0"/>
        <w:adjustRightInd/>
        <w:snapToGrid/>
        <w:spacing w:line="560" w:lineRule="exact"/>
        <w:ind w:firstLine="5703" w:firstLineChars="23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*年*月*日</w:t>
      </w: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（六）基于拟承担业务的安全风险做出合理的费用概算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1.为从事该项目工程造价为依据提取安全生产费用，承诺书应包含但不限于以下要求：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关于所承担业务安全风险做出合理费用的承诺书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bookmarkStart w:id="0" w:name="_GoBack"/>
      <w:bookmarkEnd w:id="0"/>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如我公司参与投标项目中标，我公司承诺按照国家法律法规要求，按照该项目造价为计提依据，提取不低于</w:t>
      </w:r>
      <w:r>
        <w:rPr>
          <w:rFonts w:hint="eastAsia" w:ascii="宋体" w:hAnsi="宋体" w:eastAsia="宋体" w:cs="宋体"/>
          <w:b/>
          <w:color w:val="auto"/>
          <w:kern w:val="2"/>
          <w:sz w:val="24"/>
          <w:szCs w:val="24"/>
          <w:highlight w:val="none"/>
          <w:u w:val="single"/>
          <w:lang w:val="en-US" w:eastAsia="zh-CN" w:bidi="ar-SA"/>
        </w:rPr>
        <w:t>**%</w:t>
      </w:r>
      <w:r>
        <w:rPr>
          <w:rFonts w:hint="eastAsia" w:ascii="宋体" w:hAnsi="宋体" w:eastAsia="宋体" w:cs="宋体"/>
          <w:b/>
          <w:color w:val="auto"/>
          <w:kern w:val="2"/>
          <w:sz w:val="24"/>
          <w:szCs w:val="24"/>
          <w:highlight w:val="none"/>
          <w:u w:val="none"/>
          <w:lang w:val="en-US" w:eastAsia="zh-CN" w:bidi="ar-SA"/>
        </w:rPr>
        <w:t>的安全生产费用</w:t>
      </w:r>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ind w:firstLine="5783" w:firstLineChars="24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*年*月*日</w:t>
      </w: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（七）建立应急救援组织机构、应急救援预案，按照标准配备应急救援器材和设备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1.公司应急救援机构网络图；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2.公司应急救援预案；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3.参与该项目拟投入的应急救援器材清单。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关于所承担业务应急救援器材配备的承诺书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如我公司参与投标项目中标，我公司承诺根据作业风险辨识，对该施工项目提供的应急救援物资及器材数量不低于国家或行业标准。</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ind w:firstLine="5783" w:firstLineChars="24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*年*月*日</w:t>
      </w: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（八）特种作业人员和特种设备作业人员持证情况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1.拟参与本项目特种作业人员清单及承诺书，承诺书应包含但不限于以下要求：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关于所承担业务特种作业人员配备的承诺书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如我公司参与投标项目中标，我公司承诺按照国家法律法规要求和施工需要配备特种作业人员，确保从事特种作业人员100%持证。</w:t>
      </w: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2"/>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ind w:firstLine="5783" w:firstLineChars="24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*年*月*日</w:t>
      </w: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（九）为作业人员依法缴纳各类保险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关于所承担业务从业人员依法缴纳保险的承诺书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如我公司参与投标项目中标，我公司承诺按照国家法律法规要求，为参与该项目的管理人员及员工购买或缴纳不低于**万元工伤保险。</w:t>
      </w: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*年*月*日</w:t>
      </w: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1680" w:left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（十）作业人员具有类似业务的工作经历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关于所承担业务从业人员具有类似业务工作经历的承诺书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如我公司参与投标项目中标，我公司承诺该项目从事的管理人员、作业人员均有类似业务工作经历及从业经验。</w:t>
      </w: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 xml:space="preserve">                                               *年*月*日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（十一）作业人员经过内部的培训考核和能力评估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关于所承担业务从业人员经过内部培训考核和能力评估的承诺书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如我公司参与投标项目中标，我公司承诺该项目从事的管理人员、作业人员均经过我公司安全培训考试，考核合格并经评估合格后方能进入施工现场进行作业。</w:t>
      </w: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*年*月*日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b/>
          <w:color w:val="auto"/>
          <w:kern w:val="2"/>
          <w:sz w:val="24"/>
          <w:szCs w:val="24"/>
          <w:highlight w:val="none"/>
          <w:lang w:val="en-US" w:eastAsia="zh-CN" w:bidi="ar-SA"/>
        </w:rPr>
      </w:pPr>
    </w:p>
    <w:p>
      <w:pPr>
        <w:pStyle w:val="3"/>
        <w:rPr>
          <w:rFonts w:hint="eastAsia" w:ascii="宋体" w:hAnsi="宋体" w:eastAsia="宋体" w:cs="宋体"/>
          <w:b/>
          <w:color w:val="auto"/>
          <w:kern w:val="2"/>
          <w:sz w:val="24"/>
          <w:szCs w:val="24"/>
          <w:highlight w:val="none"/>
          <w:lang w:val="en-US" w:eastAsia="zh-CN" w:bidi="ar-SA"/>
        </w:rPr>
      </w:pPr>
    </w:p>
    <w:p>
      <w:pPr>
        <w:rPr>
          <w:rFonts w:hint="eastAsia" w:ascii="宋体" w:hAnsi="宋体" w:eastAsia="宋体" w:cs="宋体"/>
          <w:b/>
          <w:color w:val="auto"/>
          <w:kern w:val="2"/>
          <w:sz w:val="24"/>
          <w:szCs w:val="24"/>
          <w:highlight w:val="none"/>
          <w:lang w:val="en-US" w:eastAsia="zh-CN" w:bidi="ar-SA"/>
        </w:rPr>
      </w:pPr>
    </w:p>
    <w:p>
      <w:pPr>
        <w:pStyle w:val="2"/>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（十二）作业人员有效的体检证明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关于所承担业务从业人员健康体检的承诺书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如我公司参与投标项目中标，我公司承诺为在该项目从事的管理人员、作业人员进行健康体检和从事项目的职业禁忌症检查，确保从事该项目员工身体健康，无职业禁忌症。</w:t>
      </w: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*年*月*日</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（十三）作业装备、工器具的性能状况</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关于所承担业务提供的作业装备、工器具合格的承诺书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如我公司参与投标项目中标，我公司承诺为该项目提供作业装备、工器具种类和数量满足作业需要，并符合国家或行业标准。</w:t>
      </w: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宋体" w:hAnsi="宋体" w:eastAsia="宋体" w:cs="宋体"/>
          <w:sz w:val="24"/>
          <w:szCs w:val="24"/>
          <w:lang w:val="en-US"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*年*月*日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（十四）近三年同行业安全作业业绩</w:t>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1.由业务部门审核主管部门公示的黑名单中有无投标公司，且集团、股份公司黑名单中有无该单位，并由投标单位做出承诺：</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关于本公司近三年安全业绩的承诺书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安徽芜湖海螺建筑安装工程有限责任公司</w:t>
      </w:r>
      <w:r>
        <w:rPr>
          <w:rFonts w:hint="eastAsia" w:ascii="宋体" w:hAnsi="宋体" w:eastAsia="宋体" w:cs="宋体"/>
          <w:b/>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我公司郑重承诺，我公司近一年内未发生过员工工亡安全生产责任事故，近三年未发生过较大及以上安全生产责任事故。</w:t>
      </w:r>
    </w:p>
    <w:p>
      <w:pPr>
        <w:keepNext w:val="0"/>
        <w:keepLines w:val="0"/>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eastAsia="宋体" w:cs="宋体"/>
          <w:b/>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44" w:firstLineChars="2467"/>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                                               *年*月*日</w:t>
      </w:r>
    </w:p>
    <w:p>
      <w:pPr>
        <w:keepNext w:val="0"/>
        <w:keepLines w:val="0"/>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（十五）承担相关业务的实力（技术、资金、设备、人员）</w:t>
      </w:r>
    </w:p>
    <w:p>
      <w:pPr>
        <w:pStyle w:val="2"/>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格式自拟，对公司进行介绍，主要介绍公司的技术、资金、设备和人员等保障。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color w:val="auto"/>
          <w:kern w:val="2"/>
          <w:sz w:val="24"/>
          <w:szCs w:val="24"/>
          <w:highlight w:val="none"/>
          <w:lang w:val="en-US" w:eastAsia="zh-CN" w:bidi="ar-SA"/>
        </w:rPr>
        <w:t>（十六）其他有关内容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b/>
          <w:color w:val="auto"/>
          <w:kern w:val="2"/>
          <w:sz w:val="24"/>
          <w:szCs w:val="24"/>
          <w:highlight w:val="none"/>
          <w:lang w:val="en-US" w:eastAsia="zh-CN" w:bidi="ar-SA"/>
        </w:rPr>
        <w:t>（格式自拟）</w:t>
      </w:r>
    </w:p>
    <w:sectPr>
      <w:footerReference r:id="rId3" w:type="default"/>
      <w:pgSz w:w="11906" w:h="16838"/>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ABAEE"/>
    <w:multiLevelType w:val="singleLevel"/>
    <w:tmpl w:val="A75ABAE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zY4ZDdjMjEyNzQzNmVlZmI0YzA1OGUwZTFjNTgifQ=="/>
  </w:docVars>
  <w:rsids>
    <w:rsidRoot w:val="00000000"/>
    <w:rsid w:val="00855086"/>
    <w:rsid w:val="015E0F75"/>
    <w:rsid w:val="022B0E70"/>
    <w:rsid w:val="09A137B2"/>
    <w:rsid w:val="0A4C4DA4"/>
    <w:rsid w:val="0E3212A9"/>
    <w:rsid w:val="0E832ABA"/>
    <w:rsid w:val="1097590F"/>
    <w:rsid w:val="10B1247B"/>
    <w:rsid w:val="10CA6084"/>
    <w:rsid w:val="13124186"/>
    <w:rsid w:val="13F05CD8"/>
    <w:rsid w:val="15120AC3"/>
    <w:rsid w:val="16A84389"/>
    <w:rsid w:val="180056B0"/>
    <w:rsid w:val="1B591C4A"/>
    <w:rsid w:val="1BB35E28"/>
    <w:rsid w:val="1BCC488D"/>
    <w:rsid w:val="1C662FCB"/>
    <w:rsid w:val="1E0F22FA"/>
    <w:rsid w:val="1F3D4A2A"/>
    <w:rsid w:val="20007369"/>
    <w:rsid w:val="20ED1707"/>
    <w:rsid w:val="24903CE1"/>
    <w:rsid w:val="2599341B"/>
    <w:rsid w:val="276570C1"/>
    <w:rsid w:val="2F157CDA"/>
    <w:rsid w:val="33467E6E"/>
    <w:rsid w:val="355867A6"/>
    <w:rsid w:val="381C0324"/>
    <w:rsid w:val="389041C5"/>
    <w:rsid w:val="3D032181"/>
    <w:rsid w:val="437E58F9"/>
    <w:rsid w:val="476B0980"/>
    <w:rsid w:val="4F3816D8"/>
    <w:rsid w:val="4F774777"/>
    <w:rsid w:val="52933878"/>
    <w:rsid w:val="53731D5F"/>
    <w:rsid w:val="54A02FDC"/>
    <w:rsid w:val="590A7B95"/>
    <w:rsid w:val="5B3550D5"/>
    <w:rsid w:val="5D387658"/>
    <w:rsid w:val="5E593D83"/>
    <w:rsid w:val="5E8F353C"/>
    <w:rsid w:val="5EFE2A8C"/>
    <w:rsid w:val="5F5958A4"/>
    <w:rsid w:val="61FB55C6"/>
    <w:rsid w:val="620864A3"/>
    <w:rsid w:val="671E412D"/>
    <w:rsid w:val="6AA10480"/>
    <w:rsid w:val="6D5917EE"/>
    <w:rsid w:val="7102506A"/>
    <w:rsid w:val="755461D4"/>
    <w:rsid w:val="779969FD"/>
    <w:rsid w:val="79927B92"/>
    <w:rsid w:val="7C510246"/>
    <w:rsid w:val="7C5807CC"/>
    <w:rsid w:val="7D2E4CDC"/>
    <w:rsid w:val="7E94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2"/>
      <w:sz w:val="21"/>
      <w:szCs w:val="24"/>
      <w:lang w:eastAsia="ar-SA"/>
    </w:rPr>
  </w:style>
  <w:style w:type="paragraph" w:styleId="3">
    <w:name w:val="Date"/>
    <w:basedOn w:val="1"/>
    <w:next w:val="1"/>
    <w:qFormat/>
    <w:uiPriority w:val="0"/>
    <w:pPr>
      <w:ind w:left="2500" w:leftChars="2500"/>
    </w:pPr>
    <w:rPr>
      <w:rFonts w:ascii="宋体"/>
      <w:szCs w:val="21"/>
    </w:rPr>
  </w:style>
  <w:style w:type="paragraph" w:styleId="4">
    <w:name w:val="List 2"/>
    <w:basedOn w:val="1"/>
    <w:qFormat/>
    <w:uiPriority w:val="0"/>
    <w:pPr>
      <w:widowControl w:val="0"/>
      <w:suppressAutoHyphens w:val="0"/>
      <w:ind w:left="400" w:leftChars="200" w:hanging="200" w:hangingChars="200"/>
    </w:pPr>
    <w:rPr>
      <w:kern w:val="2"/>
      <w:lang w:eastAsia="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2955</Words>
  <Characters>3016</Characters>
  <Lines>0</Lines>
  <Paragraphs>0</Paragraphs>
  <TotalTime>1</TotalTime>
  <ScaleCrop>false</ScaleCrop>
  <LinksUpToDate>false</LinksUpToDate>
  <CharactersWithSpaces>3383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2022-05-20T07:35:00Z</dcterms:created>
  <dc:creator>admin</dc:creator>
  <cp:lastModifiedBy>SK</cp:lastModifiedBy>
  <dcterms:modified xsi:type="dcterms:W3CDTF">2023-04-14T07:43:00Z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81750C1B667149C28E5D53119F9EFAEA</vt:lpwstr>
  </property>
</Properties>
</file>